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2F" w:rsidRPr="005E6F2F" w:rsidRDefault="005E6F2F" w:rsidP="005E6F2F">
      <w:pPr>
        <w:pBdr>
          <w:bottom w:val="single" w:sz="12" w:space="1" w:color="auto"/>
        </w:pBdr>
        <w:spacing w:after="0" w:line="240" w:lineRule="auto"/>
        <w:jc w:val="center"/>
        <w:rPr>
          <w:rFonts w:ascii="Times New Roman" w:eastAsia="Times New Roman" w:hAnsi="Times New Roman" w:cs="Times New Roman"/>
          <w:i/>
          <w:sz w:val="24"/>
          <w:szCs w:val="24"/>
          <w:lang w:eastAsia="ru-RU"/>
        </w:rPr>
      </w:pPr>
      <w:r w:rsidRPr="005E6F2F">
        <w:rPr>
          <w:rFonts w:ascii="Times New Roman" w:eastAsia="Times New Roman" w:hAnsi="Times New Roman" w:cs="Times New Roman"/>
          <w:i/>
          <w:sz w:val="24"/>
          <w:szCs w:val="24"/>
          <w:lang w:eastAsia="ru-RU"/>
        </w:rPr>
        <w:t>Муниципальное бюджетное дошкольное образовательное учреждение –</w:t>
      </w:r>
    </w:p>
    <w:p w:rsidR="005E6F2F" w:rsidRPr="005E6F2F" w:rsidRDefault="005E6F2F" w:rsidP="005E6F2F">
      <w:pPr>
        <w:pBdr>
          <w:bottom w:val="single" w:sz="12" w:space="1" w:color="auto"/>
        </w:pBdr>
        <w:spacing w:after="0" w:line="240" w:lineRule="auto"/>
        <w:jc w:val="center"/>
        <w:rPr>
          <w:rFonts w:ascii="Times New Roman" w:eastAsia="Times New Roman" w:hAnsi="Times New Roman" w:cs="Times New Roman"/>
          <w:i/>
          <w:sz w:val="24"/>
          <w:szCs w:val="24"/>
          <w:lang w:eastAsia="ru-RU"/>
        </w:rPr>
      </w:pPr>
      <w:r w:rsidRPr="005E6F2F">
        <w:rPr>
          <w:rFonts w:ascii="Times New Roman" w:eastAsia="Times New Roman" w:hAnsi="Times New Roman" w:cs="Times New Roman"/>
          <w:i/>
          <w:sz w:val="24"/>
          <w:szCs w:val="24"/>
          <w:lang w:eastAsia="ru-RU"/>
        </w:rPr>
        <w:t>детский сад № 485</w:t>
      </w:r>
    </w:p>
    <w:p w:rsidR="005E6F2F" w:rsidRPr="005E6F2F" w:rsidRDefault="005E6F2F" w:rsidP="005E6F2F">
      <w:pPr>
        <w:spacing w:after="0" w:line="240" w:lineRule="auto"/>
        <w:jc w:val="center"/>
        <w:rPr>
          <w:rFonts w:ascii="Times New Roman" w:eastAsia="Times New Roman" w:hAnsi="Times New Roman" w:cs="Times New Roman"/>
          <w:sz w:val="20"/>
          <w:szCs w:val="20"/>
          <w:lang w:eastAsia="ru-RU"/>
        </w:rPr>
      </w:pPr>
      <w:r w:rsidRPr="005E6F2F">
        <w:rPr>
          <w:rFonts w:ascii="Times New Roman" w:eastAsia="Times New Roman" w:hAnsi="Times New Roman" w:cs="Times New Roman"/>
          <w:b/>
          <w:i/>
          <w:sz w:val="24"/>
          <w:szCs w:val="24"/>
          <w:lang w:eastAsia="ru-RU"/>
        </w:rPr>
        <w:t>г. Екатеринбург, ул. Белореченская,15/4</w:t>
      </w:r>
    </w:p>
    <w:p w:rsidR="005E6F2F" w:rsidRPr="005E6F2F" w:rsidRDefault="005E6F2F" w:rsidP="005E6F2F">
      <w:pPr>
        <w:spacing w:after="0" w:line="240" w:lineRule="auto"/>
        <w:jc w:val="center"/>
        <w:rPr>
          <w:rFonts w:ascii="Times New Roman" w:eastAsia="Times New Roman" w:hAnsi="Times New Roman" w:cs="Times New Roman"/>
          <w:b/>
          <w:i/>
          <w:sz w:val="24"/>
          <w:szCs w:val="24"/>
          <w:lang w:eastAsia="ru-RU"/>
        </w:rPr>
      </w:pPr>
      <w:r w:rsidRPr="005E6F2F">
        <w:rPr>
          <w:rFonts w:ascii="Times New Roman" w:eastAsia="Times New Roman" w:hAnsi="Times New Roman" w:cs="Times New Roman"/>
          <w:b/>
          <w:i/>
          <w:sz w:val="24"/>
          <w:szCs w:val="24"/>
          <w:lang w:eastAsia="ru-RU"/>
        </w:rPr>
        <w:t>тел/факс. 8(343) 212-50-46</w:t>
      </w:r>
    </w:p>
    <w:p w:rsidR="005E6F2F" w:rsidRPr="005E6F2F" w:rsidRDefault="005E6F2F" w:rsidP="005E6F2F">
      <w:pPr>
        <w:spacing w:after="0" w:line="240" w:lineRule="auto"/>
        <w:jc w:val="center"/>
        <w:rPr>
          <w:rFonts w:ascii="Times New Roman" w:eastAsia="Times New Roman" w:hAnsi="Times New Roman" w:cs="Times New Roman"/>
          <w:b/>
          <w:i/>
          <w:sz w:val="24"/>
          <w:szCs w:val="24"/>
          <w:lang w:eastAsia="ru-RU"/>
        </w:rPr>
      </w:pPr>
      <w:r w:rsidRPr="005E6F2F">
        <w:rPr>
          <w:rFonts w:ascii="Times New Roman" w:eastAsia="Times New Roman" w:hAnsi="Times New Roman" w:cs="Times New Roman"/>
          <w:b/>
          <w:i/>
          <w:sz w:val="24"/>
          <w:szCs w:val="24"/>
          <w:lang w:val="en-US" w:eastAsia="ru-RU"/>
        </w:rPr>
        <w:t>E</w:t>
      </w:r>
      <w:r w:rsidRPr="005E6F2F">
        <w:rPr>
          <w:rFonts w:ascii="Times New Roman" w:eastAsia="Times New Roman" w:hAnsi="Times New Roman" w:cs="Times New Roman"/>
          <w:b/>
          <w:i/>
          <w:sz w:val="24"/>
          <w:szCs w:val="24"/>
          <w:lang w:eastAsia="ru-RU"/>
        </w:rPr>
        <w:t>-</w:t>
      </w:r>
      <w:r w:rsidRPr="005E6F2F">
        <w:rPr>
          <w:rFonts w:ascii="Times New Roman" w:eastAsia="Times New Roman" w:hAnsi="Times New Roman" w:cs="Times New Roman"/>
          <w:b/>
          <w:i/>
          <w:sz w:val="24"/>
          <w:szCs w:val="24"/>
          <w:lang w:val="en-US" w:eastAsia="ru-RU"/>
        </w:rPr>
        <w:t>mail</w:t>
      </w:r>
      <w:r w:rsidRPr="005E6F2F">
        <w:rPr>
          <w:rFonts w:ascii="Times New Roman" w:eastAsia="Times New Roman" w:hAnsi="Times New Roman" w:cs="Times New Roman"/>
          <w:b/>
          <w:i/>
          <w:sz w:val="24"/>
          <w:szCs w:val="24"/>
          <w:lang w:eastAsia="ru-RU"/>
        </w:rPr>
        <w:t xml:space="preserve">: </w:t>
      </w:r>
      <w:hyperlink r:id="rId4" w:history="1">
        <w:r w:rsidRPr="005E6F2F">
          <w:rPr>
            <w:rFonts w:ascii="Times New Roman" w:eastAsia="Times New Roman" w:hAnsi="Times New Roman" w:cs="Times New Roman"/>
            <w:b/>
            <w:i/>
            <w:color w:val="0000FF"/>
            <w:sz w:val="24"/>
            <w:szCs w:val="24"/>
            <w:u w:val="single"/>
            <w:lang w:val="en-US" w:eastAsia="ru-RU"/>
          </w:rPr>
          <w:t>mdou</w:t>
        </w:r>
        <w:r w:rsidRPr="005E6F2F">
          <w:rPr>
            <w:rFonts w:ascii="Times New Roman" w:eastAsia="Times New Roman" w:hAnsi="Times New Roman" w:cs="Times New Roman"/>
            <w:b/>
            <w:i/>
            <w:color w:val="0000FF"/>
            <w:sz w:val="24"/>
            <w:szCs w:val="24"/>
            <w:u w:val="single"/>
            <w:lang w:eastAsia="ru-RU"/>
          </w:rPr>
          <w:t>485@</w:t>
        </w:r>
        <w:r w:rsidRPr="005E6F2F">
          <w:rPr>
            <w:rFonts w:ascii="Times New Roman" w:eastAsia="Times New Roman" w:hAnsi="Times New Roman" w:cs="Times New Roman"/>
            <w:b/>
            <w:i/>
            <w:color w:val="0000FF"/>
            <w:sz w:val="24"/>
            <w:szCs w:val="24"/>
            <w:u w:val="single"/>
            <w:lang w:val="en-US" w:eastAsia="ru-RU"/>
          </w:rPr>
          <w:t>eduekb</w:t>
        </w:r>
        <w:r w:rsidRPr="005E6F2F">
          <w:rPr>
            <w:rFonts w:ascii="Times New Roman" w:eastAsia="Times New Roman" w:hAnsi="Times New Roman" w:cs="Times New Roman"/>
            <w:b/>
            <w:i/>
            <w:color w:val="0000FF"/>
            <w:sz w:val="24"/>
            <w:szCs w:val="24"/>
            <w:u w:val="single"/>
            <w:lang w:eastAsia="ru-RU"/>
          </w:rPr>
          <w:t>.</w:t>
        </w:r>
        <w:proofErr w:type="spellStart"/>
        <w:r w:rsidRPr="005E6F2F">
          <w:rPr>
            <w:rFonts w:ascii="Times New Roman" w:eastAsia="Times New Roman" w:hAnsi="Times New Roman" w:cs="Times New Roman"/>
            <w:b/>
            <w:i/>
            <w:color w:val="0000FF"/>
            <w:sz w:val="24"/>
            <w:szCs w:val="24"/>
            <w:u w:val="single"/>
            <w:lang w:val="en-US" w:eastAsia="ru-RU"/>
          </w:rPr>
          <w:t>ru</w:t>
        </w:r>
        <w:proofErr w:type="spellEnd"/>
      </w:hyperlink>
    </w:p>
    <w:p w:rsidR="005E6F2F" w:rsidRPr="005E6F2F" w:rsidRDefault="005E6F2F" w:rsidP="005E6F2F">
      <w:pPr>
        <w:spacing w:after="0" w:line="240" w:lineRule="auto"/>
        <w:jc w:val="center"/>
        <w:rPr>
          <w:rFonts w:ascii="Times New Roman" w:eastAsia="Times New Roman" w:hAnsi="Times New Roman" w:cs="Times New Roman"/>
          <w:b/>
          <w:i/>
          <w:sz w:val="24"/>
          <w:szCs w:val="24"/>
          <w:lang w:eastAsia="ru-RU"/>
        </w:rPr>
      </w:pPr>
      <w:hyperlink r:id="rId5" w:history="1">
        <w:r w:rsidRPr="005E6F2F">
          <w:rPr>
            <w:rFonts w:ascii="Times New Roman" w:eastAsia="Times New Roman" w:hAnsi="Times New Roman" w:cs="Times New Roman"/>
            <w:b/>
            <w:i/>
            <w:color w:val="0000FF"/>
            <w:sz w:val="24"/>
            <w:szCs w:val="24"/>
            <w:u w:val="single"/>
            <w:lang w:val="en-US" w:eastAsia="ru-RU"/>
          </w:rPr>
          <w:t>www.detsad485.ru</w:t>
        </w:r>
      </w:hyperlink>
    </w:p>
    <w:p w:rsidR="005E6F2F" w:rsidRPr="005E6F2F" w:rsidRDefault="005E6F2F" w:rsidP="005E6F2F">
      <w:pPr>
        <w:spacing w:after="0" w:line="240" w:lineRule="auto"/>
        <w:jc w:val="center"/>
        <w:rPr>
          <w:rFonts w:ascii="Times New Roman" w:eastAsia="Times New Roman" w:hAnsi="Times New Roman" w:cs="Times New Roman"/>
          <w:sz w:val="28"/>
          <w:szCs w:val="24"/>
          <w:lang w:eastAsia="ru-RU"/>
        </w:rPr>
      </w:pPr>
    </w:p>
    <w:p w:rsidR="005E6F2F" w:rsidRDefault="005E6F2F" w:rsidP="005E6F2F">
      <w:pPr>
        <w:rPr>
          <w:rFonts w:ascii="Times New Roman" w:hAnsi="Times New Roman" w:cs="Times New Roman"/>
          <w:sz w:val="24"/>
          <w:szCs w:val="24"/>
        </w:rPr>
      </w:pPr>
    </w:p>
    <w:p w:rsidR="005E6F2F" w:rsidRPr="005E6F2F" w:rsidRDefault="00335DCF" w:rsidP="005E6F2F">
      <w:pPr>
        <w:jc w:val="center"/>
        <w:rPr>
          <w:rFonts w:ascii="Times New Roman" w:hAnsi="Times New Roman" w:cs="Times New Roman"/>
          <w:b/>
          <w:sz w:val="24"/>
          <w:szCs w:val="24"/>
        </w:rPr>
      </w:pPr>
      <w:r w:rsidRPr="005E6F2F">
        <w:rPr>
          <w:rFonts w:ascii="Times New Roman" w:hAnsi="Times New Roman" w:cs="Times New Roman"/>
          <w:b/>
          <w:sz w:val="24"/>
          <w:szCs w:val="24"/>
        </w:rPr>
        <w:t>Аналитическая справка о положительной динамике результатов освоения воспитанниками образовательной программы дошкольного образования</w:t>
      </w:r>
    </w:p>
    <w:p w:rsidR="005E6F2F" w:rsidRDefault="00335DCF" w:rsidP="005540F9">
      <w:pPr>
        <w:ind w:firstLine="567"/>
        <w:jc w:val="both"/>
        <w:rPr>
          <w:rFonts w:ascii="Times New Roman" w:hAnsi="Times New Roman" w:cs="Times New Roman"/>
          <w:sz w:val="24"/>
          <w:szCs w:val="24"/>
        </w:rPr>
      </w:pPr>
      <w:r w:rsidRPr="00E94874">
        <w:rPr>
          <w:rFonts w:ascii="Times New Roman" w:hAnsi="Times New Roman" w:cs="Times New Roman"/>
          <w:sz w:val="24"/>
          <w:szCs w:val="24"/>
        </w:rPr>
        <w:t xml:space="preserve">Все результаты зафиксированы в диагностических картах развития детей, проведен анализ в соответствии с направлениями развития детей: </w:t>
      </w:r>
    </w:p>
    <w:p w:rsidR="005E6F2F" w:rsidRDefault="00335DCF" w:rsidP="005E6F2F">
      <w:pPr>
        <w:ind w:firstLine="567"/>
        <w:jc w:val="both"/>
        <w:rPr>
          <w:rFonts w:ascii="Times New Roman" w:hAnsi="Times New Roman" w:cs="Times New Roman"/>
          <w:sz w:val="24"/>
          <w:szCs w:val="24"/>
        </w:rPr>
      </w:pPr>
      <w:r w:rsidRPr="00E94874">
        <w:rPr>
          <w:rFonts w:ascii="Times New Roman" w:hAnsi="Times New Roman" w:cs="Times New Roman"/>
          <w:sz w:val="24"/>
          <w:szCs w:val="24"/>
        </w:rPr>
        <w:t xml:space="preserve">-социально-коммуникативное развитие; </w:t>
      </w:r>
    </w:p>
    <w:p w:rsidR="005E6F2F" w:rsidRDefault="00335DCF" w:rsidP="005E6F2F">
      <w:pPr>
        <w:ind w:firstLine="567"/>
        <w:jc w:val="both"/>
        <w:rPr>
          <w:rFonts w:ascii="Times New Roman" w:hAnsi="Times New Roman" w:cs="Times New Roman"/>
          <w:sz w:val="24"/>
          <w:szCs w:val="24"/>
        </w:rPr>
      </w:pPr>
      <w:r w:rsidRPr="00E94874">
        <w:rPr>
          <w:rFonts w:ascii="Times New Roman" w:hAnsi="Times New Roman" w:cs="Times New Roman"/>
          <w:sz w:val="24"/>
          <w:szCs w:val="24"/>
        </w:rPr>
        <w:t xml:space="preserve">-познавательное развитие; </w:t>
      </w:r>
    </w:p>
    <w:p w:rsidR="005E6F2F" w:rsidRDefault="00335DCF" w:rsidP="005E6F2F">
      <w:pPr>
        <w:ind w:firstLine="567"/>
        <w:jc w:val="both"/>
        <w:rPr>
          <w:rFonts w:ascii="Times New Roman" w:hAnsi="Times New Roman" w:cs="Times New Roman"/>
          <w:sz w:val="24"/>
          <w:szCs w:val="24"/>
        </w:rPr>
      </w:pPr>
      <w:r w:rsidRPr="00E94874">
        <w:rPr>
          <w:rFonts w:ascii="Times New Roman" w:hAnsi="Times New Roman" w:cs="Times New Roman"/>
          <w:sz w:val="24"/>
          <w:szCs w:val="24"/>
        </w:rPr>
        <w:t xml:space="preserve">-речевое развитие; </w:t>
      </w:r>
    </w:p>
    <w:p w:rsidR="005E6F2F" w:rsidRDefault="00335DCF" w:rsidP="005E6F2F">
      <w:pPr>
        <w:ind w:firstLine="567"/>
        <w:jc w:val="both"/>
        <w:rPr>
          <w:rFonts w:ascii="Times New Roman" w:hAnsi="Times New Roman" w:cs="Times New Roman"/>
          <w:sz w:val="24"/>
          <w:szCs w:val="24"/>
        </w:rPr>
      </w:pPr>
      <w:r w:rsidRPr="00E94874">
        <w:rPr>
          <w:rFonts w:ascii="Times New Roman" w:hAnsi="Times New Roman" w:cs="Times New Roman"/>
          <w:sz w:val="24"/>
          <w:szCs w:val="24"/>
        </w:rPr>
        <w:t xml:space="preserve">-художественно-эстетическое развитие; </w:t>
      </w:r>
    </w:p>
    <w:p w:rsidR="002C46F4" w:rsidRDefault="00335DCF" w:rsidP="005E6F2F">
      <w:pPr>
        <w:ind w:firstLine="567"/>
        <w:jc w:val="both"/>
        <w:rPr>
          <w:rFonts w:ascii="Times New Roman" w:hAnsi="Times New Roman" w:cs="Times New Roman"/>
          <w:sz w:val="24"/>
          <w:szCs w:val="24"/>
        </w:rPr>
      </w:pPr>
      <w:r w:rsidRPr="00E94874">
        <w:rPr>
          <w:rFonts w:ascii="Times New Roman" w:hAnsi="Times New Roman" w:cs="Times New Roman"/>
          <w:sz w:val="24"/>
          <w:szCs w:val="24"/>
        </w:rPr>
        <w:t>-</w:t>
      </w:r>
      <w:r w:rsidR="005E6F2F">
        <w:rPr>
          <w:rFonts w:ascii="Times New Roman" w:hAnsi="Times New Roman" w:cs="Times New Roman"/>
          <w:sz w:val="24"/>
          <w:szCs w:val="24"/>
        </w:rPr>
        <w:t xml:space="preserve"> </w:t>
      </w:r>
      <w:r w:rsidRPr="00E94874">
        <w:rPr>
          <w:rFonts w:ascii="Times New Roman" w:hAnsi="Times New Roman" w:cs="Times New Roman"/>
          <w:sz w:val="24"/>
          <w:szCs w:val="24"/>
        </w:rPr>
        <w:t>физическое развитие.</w:t>
      </w:r>
    </w:p>
    <w:p w:rsidR="005540F9" w:rsidRPr="005540F9" w:rsidRDefault="005540F9" w:rsidP="005540F9">
      <w:pPr>
        <w:ind w:firstLine="567"/>
        <w:jc w:val="both"/>
        <w:rPr>
          <w:rFonts w:ascii="Times New Roman" w:hAnsi="Times New Roman" w:cs="Times New Roman"/>
          <w:b/>
          <w:sz w:val="24"/>
          <w:szCs w:val="24"/>
        </w:rPr>
      </w:pPr>
      <w:r w:rsidRPr="005540F9">
        <w:rPr>
          <w:rFonts w:ascii="Times New Roman" w:hAnsi="Times New Roman" w:cs="Times New Roman"/>
          <w:b/>
          <w:sz w:val="24"/>
          <w:szCs w:val="24"/>
        </w:rPr>
        <w:t>Мониторинг уровня развития детей</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Оценка индивидуального развития детей проводится педагогическими работниками детского сада в рамках мониторинга (индивидуальная карта развития ребёнка). Педагогическая диагностика проводится в ходе наблюдений за активностью детей в спонтанной и специально организованной деятельности.</w:t>
      </w:r>
    </w:p>
    <w:p w:rsidR="005540F9" w:rsidRPr="005540F9" w:rsidRDefault="005540F9" w:rsidP="005540F9">
      <w:pPr>
        <w:ind w:firstLine="567"/>
        <w:jc w:val="center"/>
        <w:rPr>
          <w:rFonts w:ascii="Times New Roman" w:hAnsi="Times New Roman" w:cs="Times New Roman"/>
          <w:b/>
          <w:sz w:val="24"/>
          <w:szCs w:val="24"/>
        </w:rPr>
      </w:pPr>
      <w:r w:rsidRPr="005540F9">
        <w:rPr>
          <w:rFonts w:ascii="Times New Roman" w:hAnsi="Times New Roman" w:cs="Times New Roman"/>
          <w:b/>
          <w:sz w:val="24"/>
          <w:szCs w:val="24"/>
        </w:rPr>
        <w:t>Анализ уровня развития детей за 2022</w:t>
      </w:r>
      <w:r>
        <w:rPr>
          <w:rFonts w:ascii="Times New Roman" w:hAnsi="Times New Roman" w:cs="Times New Roman"/>
          <w:b/>
          <w:sz w:val="24"/>
          <w:szCs w:val="24"/>
        </w:rPr>
        <w:t>-2023 учебный</w:t>
      </w:r>
      <w:r w:rsidRPr="005540F9">
        <w:rPr>
          <w:rFonts w:ascii="Times New Roman" w:hAnsi="Times New Roman" w:cs="Times New Roman"/>
          <w:b/>
          <w:sz w:val="24"/>
          <w:szCs w:val="24"/>
        </w:rPr>
        <w:t xml:space="preserve"> год</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6"/>
        <w:gridCol w:w="2096"/>
      </w:tblGrid>
      <w:tr w:rsidR="005540F9" w:rsidRPr="005540F9" w:rsidTr="00BF7EAB">
        <w:trPr>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Показатели</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качества</w:t>
            </w:r>
          </w:p>
          <w:p w:rsidR="005540F9" w:rsidRPr="005540F9" w:rsidRDefault="005540F9" w:rsidP="005540F9">
            <w:pPr>
              <w:ind w:firstLine="567"/>
              <w:jc w:val="both"/>
              <w:rPr>
                <w:rFonts w:ascii="Times New Roman" w:hAnsi="Times New Roman" w:cs="Times New Roman"/>
                <w:sz w:val="24"/>
                <w:szCs w:val="24"/>
              </w:rPr>
            </w:pPr>
          </w:p>
        </w:tc>
      </w:tr>
      <w:tr w:rsidR="005540F9" w:rsidRPr="005540F9" w:rsidTr="00BF7EAB">
        <w:trPr>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Физическое развитие</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92%</w:t>
            </w:r>
          </w:p>
        </w:tc>
      </w:tr>
      <w:tr w:rsidR="005540F9" w:rsidRPr="005540F9" w:rsidTr="00BF7EAB">
        <w:trPr>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Познавательное развитие</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72%</w:t>
            </w:r>
          </w:p>
        </w:tc>
      </w:tr>
      <w:tr w:rsidR="005540F9" w:rsidRPr="005540F9" w:rsidTr="00BF7EAB">
        <w:trPr>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Речевое развитие</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77%</w:t>
            </w:r>
          </w:p>
        </w:tc>
      </w:tr>
      <w:tr w:rsidR="005540F9" w:rsidRPr="005540F9" w:rsidTr="00BF7EAB">
        <w:trPr>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Художественно-эстетическое развитие</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87%</w:t>
            </w:r>
          </w:p>
        </w:tc>
      </w:tr>
      <w:tr w:rsidR="005540F9" w:rsidRPr="005540F9" w:rsidTr="00BF7EAB">
        <w:trPr>
          <w:trHeight w:val="242"/>
          <w:jc w:val="center"/>
        </w:trPr>
        <w:tc>
          <w:tcPr>
            <w:tcW w:w="728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Социально-коммуникативное развитие</w:t>
            </w:r>
          </w:p>
        </w:tc>
        <w:tc>
          <w:tcPr>
            <w:tcW w:w="2096"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63%</w:t>
            </w:r>
          </w:p>
        </w:tc>
      </w:tr>
    </w:tbl>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Дошкольники усвоили нормы и ценности, принятые в обществе, включая моральные и нравственные ценности. Дети умеют общаться и взаимодействовать с взрослыми и сверстниками, проявляют самостоятельность, целенаправленность и </w:t>
      </w:r>
      <w:proofErr w:type="spellStart"/>
      <w:r w:rsidRPr="005540F9">
        <w:rPr>
          <w:rFonts w:ascii="Times New Roman" w:hAnsi="Times New Roman" w:cs="Times New Roman"/>
          <w:sz w:val="24"/>
          <w:szCs w:val="24"/>
        </w:rPr>
        <w:t>саморегуляцию</w:t>
      </w:r>
      <w:proofErr w:type="spellEnd"/>
      <w:r w:rsidRPr="005540F9">
        <w:rPr>
          <w:rFonts w:ascii="Times New Roman" w:hAnsi="Times New Roman" w:cs="Times New Roman"/>
          <w:sz w:val="24"/>
          <w:szCs w:val="24"/>
        </w:rPr>
        <w:t xml:space="preserve"> собственных действий, развит социальный и эмоциональный интеллект. Дошкольники проявляют эмоциональную отзывчивость, сопереживание, у них сформирована готовность к совместной деятельности со сверстниками, уважительное отношение и чувства принадлежности к своей семье и к сообществу детей и взрослых в группе.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lastRenderedPageBreak/>
        <w:t xml:space="preserve">Дети имеют позитивные установки к различным видам труда и творчества, у них сформированы основы безопасного поведения в быту, социуме, природе.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У дошкольников развиты познавательные интересы, любознательность, воображение и творческая активность. Сформированы познавательные действия, первичные представления о себе, других людях, объектах окружающего мира, о свойствах и отношениях объектов окружающего мира,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Дошкольники владеют речью, как средством общения и культуры, имеют богатый словарный запас. У них развита связная, грамматически правильная диалогическая и монологическая речь, звуковая и интонационная культура речи, фонематический слух. Дети проявляют речевое творчество, они знакомы с книжной культурой, детской литературой, понимают на слух тексты различных жанров детской литературы.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 Дошкольники проявляют эстетическое отношение к окружающему миру, у них сформированы элементарные представления о видах искусства. Дети с удовольствием воспринимают музыку, художественную литературу, фольклор, сопереживают персонажам художественных произведений, реализуют потребность в самостоятельной творческой деятельности.</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Дошкольники приобрели опыт в двигательной деятельности, в том числе связанной с выполнением упражнений, направленных на развитие физических качеств. У детей развиты равновесие, координация движения, крупная и мелкая моторики обеих рук. Дошкольники правильно выполняют основные движения, такие как, ходьба, бег, мягкие прыжки, повороты в обе стороны. У них сформированы начальные представления о некоторых видах спорта, целенаправленность и </w:t>
      </w:r>
      <w:proofErr w:type="spellStart"/>
      <w:r w:rsidRPr="005540F9">
        <w:rPr>
          <w:rFonts w:ascii="Times New Roman" w:hAnsi="Times New Roman" w:cs="Times New Roman"/>
          <w:sz w:val="24"/>
          <w:szCs w:val="24"/>
        </w:rPr>
        <w:t>саморегуляция</w:t>
      </w:r>
      <w:proofErr w:type="spellEnd"/>
      <w:r w:rsidRPr="005540F9">
        <w:rPr>
          <w:rFonts w:ascii="Times New Roman" w:hAnsi="Times New Roman" w:cs="Times New Roman"/>
          <w:sz w:val="24"/>
          <w:szCs w:val="24"/>
        </w:rPr>
        <w:t xml:space="preserve"> в двигательной сфере. Дети проявляют интерес к подвижным играм с правилами, имеют представления о ценностях здорового образа жизни, владеют его элементарными нормами.</w:t>
      </w:r>
    </w:p>
    <w:p w:rsidR="005540F9" w:rsidRPr="005540F9" w:rsidRDefault="005540F9" w:rsidP="005540F9">
      <w:pPr>
        <w:ind w:firstLine="567"/>
        <w:jc w:val="center"/>
        <w:rPr>
          <w:rFonts w:ascii="Times New Roman" w:hAnsi="Times New Roman" w:cs="Times New Roman"/>
          <w:b/>
          <w:sz w:val="24"/>
          <w:szCs w:val="24"/>
        </w:rPr>
      </w:pPr>
      <w:r w:rsidRPr="005540F9">
        <w:rPr>
          <w:rFonts w:ascii="Times New Roman" w:hAnsi="Times New Roman" w:cs="Times New Roman"/>
          <w:b/>
          <w:sz w:val="24"/>
          <w:szCs w:val="24"/>
        </w:rPr>
        <w:t>Анализ уровня развития детей (подготовительной группы)</w:t>
      </w:r>
    </w:p>
    <w:p w:rsidR="005540F9" w:rsidRPr="005540F9" w:rsidRDefault="005540F9" w:rsidP="005540F9">
      <w:pPr>
        <w:ind w:firstLine="567"/>
        <w:jc w:val="center"/>
        <w:rPr>
          <w:rFonts w:ascii="Times New Roman" w:hAnsi="Times New Roman" w:cs="Times New Roman"/>
          <w:b/>
          <w:sz w:val="24"/>
          <w:szCs w:val="24"/>
        </w:rPr>
      </w:pPr>
      <w:r w:rsidRPr="005540F9">
        <w:rPr>
          <w:rFonts w:ascii="Times New Roman" w:hAnsi="Times New Roman" w:cs="Times New Roman"/>
          <w:b/>
          <w:sz w:val="24"/>
          <w:szCs w:val="24"/>
        </w:rPr>
        <w:t>за 2022-2023 учебный год</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804"/>
      </w:tblGrid>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Показатели</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качества</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2022-2023 уч. год</w:t>
            </w:r>
          </w:p>
        </w:tc>
      </w:tr>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Физическое развитие</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100%</w:t>
            </w:r>
          </w:p>
        </w:tc>
      </w:tr>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Познавательное развитие</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100%</w:t>
            </w:r>
          </w:p>
        </w:tc>
      </w:tr>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Речевое развитие</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100%</w:t>
            </w:r>
          </w:p>
        </w:tc>
      </w:tr>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Художественно-эстетическое развитие</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100%</w:t>
            </w:r>
          </w:p>
        </w:tc>
      </w:tr>
      <w:tr w:rsidR="005540F9" w:rsidRPr="005540F9" w:rsidTr="005540F9">
        <w:trPr>
          <w:jc w:val="center"/>
        </w:trPr>
        <w:tc>
          <w:tcPr>
            <w:tcW w:w="6941"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Социально-коммуникативное развитие</w:t>
            </w:r>
          </w:p>
        </w:tc>
        <w:tc>
          <w:tcPr>
            <w:tcW w:w="2804" w:type="dxa"/>
          </w:tcPr>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100%</w:t>
            </w:r>
          </w:p>
        </w:tc>
      </w:tr>
    </w:tbl>
    <w:p w:rsidR="005540F9" w:rsidRPr="005540F9" w:rsidRDefault="005540F9" w:rsidP="005540F9">
      <w:pPr>
        <w:ind w:firstLine="567"/>
        <w:jc w:val="both"/>
        <w:rPr>
          <w:rFonts w:ascii="Times New Roman" w:hAnsi="Times New Roman" w:cs="Times New Roman"/>
          <w:sz w:val="24"/>
          <w:szCs w:val="24"/>
        </w:rPr>
      </w:pP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Анализ результатов психолого-педагогического обследования выпускников показал положительную динамику по всем познавательным процессам: мышление, восприятие, внимание, воображение, память</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lastRenderedPageBreak/>
        <w:t xml:space="preserve"> 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В аспекте социально-психологической готовности у детей можно отметить хороший уровень мотивационной готовности.</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Диагностика готовности к школе в целом по сравнению с началом годам имеет</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положительную динамику. Дети со стабильным развитием, с благоприятным прогнозом обучения в школе и дальнейшим развитием. В целом, работу по подготовке детей к школе (включая работу с педагогами и родителями воспитанников) считаю удовлетворительной.  </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b/>
          <w:sz w:val="24"/>
          <w:szCs w:val="24"/>
        </w:rPr>
        <w:t>Вывод</w:t>
      </w:r>
      <w:r w:rsidRPr="005540F9">
        <w:rPr>
          <w:rFonts w:ascii="Times New Roman" w:hAnsi="Times New Roman" w:cs="Times New Roman"/>
          <w:sz w:val="24"/>
          <w:szCs w:val="24"/>
        </w:rPr>
        <w:t>: анализ деятельности МБДОУ в течение учебного года показывает, что функционирование детского сада носит стабильный характер:</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xml:space="preserve">- сложился стабильный, сплоченный и </w:t>
      </w:r>
      <w:proofErr w:type="gramStart"/>
      <w:r w:rsidRPr="005540F9">
        <w:rPr>
          <w:rFonts w:ascii="Times New Roman" w:hAnsi="Times New Roman" w:cs="Times New Roman"/>
          <w:sz w:val="24"/>
          <w:szCs w:val="24"/>
        </w:rPr>
        <w:t>творческий  коллектив</w:t>
      </w:r>
      <w:proofErr w:type="gramEnd"/>
      <w:r w:rsidRPr="005540F9">
        <w:rPr>
          <w:rFonts w:ascii="Times New Roman" w:hAnsi="Times New Roman" w:cs="Times New Roman"/>
          <w:sz w:val="24"/>
          <w:szCs w:val="24"/>
        </w:rPr>
        <w:t>;</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проводится большая работа по обогащению предметно – развивающей среды, отвечающей современным требованиям;</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отмечается стабильно высокий уровень освоения детьми содержания образовательной программы;</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родители принимают активное участие в образовательном процессе;</w:t>
      </w:r>
    </w:p>
    <w:p w:rsidR="005540F9" w:rsidRPr="005540F9" w:rsidRDefault="005540F9" w:rsidP="005540F9">
      <w:pPr>
        <w:ind w:firstLine="567"/>
        <w:jc w:val="both"/>
        <w:rPr>
          <w:rFonts w:ascii="Times New Roman" w:hAnsi="Times New Roman" w:cs="Times New Roman"/>
          <w:sz w:val="24"/>
          <w:szCs w:val="24"/>
        </w:rPr>
      </w:pPr>
      <w:r w:rsidRPr="005540F9">
        <w:rPr>
          <w:rFonts w:ascii="Times New Roman" w:hAnsi="Times New Roman" w:cs="Times New Roman"/>
          <w:sz w:val="24"/>
          <w:szCs w:val="24"/>
        </w:rPr>
        <w:t>- введены и успешно реализуются платные образовательные услуги.</w:t>
      </w:r>
    </w:p>
    <w:p w:rsidR="005540F9" w:rsidRPr="00E94874" w:rsidRDefault="005540F9" w:rsidP="005E6F2F">
      <w:pPr>
        <w:ind w:firstLine="567"/>
        <w:jc w:val="both"/>
        <w:rPr>
          <w:rFonts w:ascii="Times New Roman" w:hAnsi="Times New Roman" w:cs="Times New Roman"/>
          <w:sz w:val="24"/>
          <w:szCs w:val="24"/>
        </w:rPr>
      </w:pPr>
    </w:p>
    <w:p w:rsidR="00E94874" w:rsidRPr="00E94874" w:rsidRDefault="00E94874" w:rsidP="00E94874">
      <w:pPr>
        <w:jc w:val="both"/>
        <w:rPr>
          <w:rFonts w:ascii="Times New Roman" w:hAnsi="Times New Roman" w:cs="Times New Roman"/>
          <w:sz w:val="24"/>
          <w:szCs w:val="24"/>
        </w:rPr>
      </w:pPr>
      <w:bookmarkStart w:id="0" w:name="_GoBack"/>
      <w:bookmarkEnd w:id="0"/>
      <w:r w:rsidRPr="00E94874">
        <w:rPr>
          <w:rFonts w:ascii="Times New Roman" w:hAnsi="Times New Roman" w:cs="Times New Roman"/>
          <w:sz w:val="24"/>
          <w:szCs w:val="24"/>
        </w:rPr>
        <w:t xml:space="preserve">Качественные результаты мониторинга: Анализ степени освоения ребенком основной общеобразовательной программы дошкольного учреждения и влияние образовательного процесса, организуемого в дошкольном учреждении, на развитие ребенка позволяет выстроить следующий рейтинговый порядок: наивысшие показатели наблюдаются по следующим линиям развития: «Социально-коммуникативное развитие»; «Познавательное развитие»; «Речевое развитие»; «Художественно-эстетическое развитие»; несколько ниже по линиям развития: «Физическое развитие». 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находится на достаточном уровне. Достижению таких результатов способствовало использование разнообразных форм работы, которые способствуют развитию самостоятельности, индивидуализации, познавательных интересов детей. Таким образом, сравнительный анализ показал положительную динамику освоения детьми группы основной образовательной программы ДОУ по всем образовательным областям.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 обогащения РППС, применения </w:t>
      </w:r>
      <w:proofErr w:type="spellStart"/>
      <w:r w:rsidRPr="00E94874">
        <w:rPr>
          <w:rFonts w:ascii="Times New Roman" w:hAnsi="Times New Roman" w:cs="Times New Roman"/>
          <w:sz w:val="24"/>
          <w:szCs w:val="24"/>
        </w:rPr>
        <w:t>деятельностного</w:t>
      </w:r>
      <w:proofErr w:type="spellEnd"/>
      <w:r w:rsidRPr="00E94874">
        <w:rPr>
          <w:rFonts w:ascii="Times New Roman" w:hAnsi="Times New Roman" w:cs="Times New Roman"/>
          <w:sz w:val="24"/>
          <w:szCs w:val="24"/>
        </w:rPr>
        <w:t xml:space="preserve"> подхода, использования современных технологий и методов обучения.</w:t>
      </w:r>
    </w:p>
    <w:sectPr w:rsidR="00E94874" w:rsidRPr="00E94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A8"/>
    <w:rsid w:val="002C46F4"/>
    <w:rsid w:val="00335DCF"/>
    <w:rsid w:val="005540F9"/>
    <w:rsid w:val="005E6F2F"/>
    <w:rsid w:val="007405A8"/>
    <w:rsid w:val="00E9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EADE"/>
  <w15:chartTrackingRefBased/>
  <w15:docId w15:val="{1CBA656D-BFC0-4DF6-8436-F4665FF2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5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tsad485.ru" TargetMode="External"/><Relationship Id="rId4" Type="http://schemas.openxmlformats.org/officeDocument/2006/relationships/hyperlink" Target="mailto:mdou485@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МБДОУ 485</cp:lastModifiedBy>
  <cp:revision>2</cp:revision>
  <dcterms:created xsi:type="dcterms:W3CDTF">2024-02-16T07:50:00Z</dcterms:created>
  <dcterms:modified xsi:type="dcterms:W3CDTF">2024-02-16T08:33:00Z</dcterms:modified>
</cp:coreProperties>
</file>